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2F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u w:val="none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u w:val="none"/>
          <w:vertAlign w:val="baseline"/>
          <w:lang w:val="en-US" w:eastAsia="zh-CN"/>
        </w:rPr>
        <w:t>《随产迭代·要</w:t>
      </w:r>
      <w:bookmarkStart w:id="11" w:name="_GoBack"/>
      <w:bookmarkEnd w:id="11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u w:val="none"/>
          <w:vertAlign w:val="baseline"/>
          <w:lang w:val="en-US" w:eastAsia="zh-CN"/>
        </w:rPr>
        <w:t>素互嵌：锚定镁基产业转型的中职化学工艺专业改革与实践》</w:t>
      </w:r>
    </w:p>
    <w:p w14:paraId="25A14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u w:val="none"/>
          <w:vertAlign w:val="baseline"/>
          <w:lang w:val="en-US" w:eastAsia="zh-CN"/>
        </w:rPr>
        <w:t>成果报告</w:t>
      </w:r>
    </w:p>
    <w:p w14:paraId="6519C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  <w:bookmarkStart w:id="0" w:name="_Toc13451"/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  <w:t>一、背景与问题</w:t>
      </w:r>
      <w:bookmarkEnd w:id="0"/>
    </w:p>
    <w:p w14:paraId="32D9E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金属镁作为轻量化材料与战略性资源，其绿色化、智能化生产已成为制造业转型升级的必然要求。府谷是全球最大金属镁生产基地，产量占全球40%以上，连续十四年居全国首位。皮江法炼镁工艺涵盖煅烧、还原、精炼等五大工序，对应17类一线工种。</w:t>
      </w:r>
    </w:p>
    <w:p w14:paraId="32542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2018年是府谷镁产业的里程碑之年——府谷被授予“全国最大金属镁生产基地”称号，金属镁研发中心同步揭牌，产业正式从规模扩张迈入创新驱动新阶段。产业转型升级必然要求人才供给同步升级，区域技能人才需求急速增长，用工压力持续加大。</w:t>
      </w:r>
    </w:p>
    <w:p w14:paraId="0B4E8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教育部等六部门印发的《职业学校校企合作促进办法》明确要求推动形成“产教融合、校企合作、工学结合、知行合一的共同育人机制”。府谷县职业中等专业学校作为县域内唯一开设化学工艺专业的学校，理应成为镁产业技能人才的供给起点和蓄水池。然而，当时化学工艺专业与蓬勃发展的镁产业之间存在三个突出问题：</w:t>
      </w:r>
    </w:p>
    <w:p w14:paraId="3D9CA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>问题一：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专业设置与产业匹配度不高。专业以无机化工为方向，金属镁教学内容几近空白，17类工种在课程体系中缺乏对应，无适配教材，专业动态调整机制缺位，人才供给与产业需求脱节。</w:t>
      </w:r>
    </w:p>
    <w:p w14:paraId="681AC8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>问题二：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教学要素联动不足。专业、课程、教材、教师、实训五大核心要素协作不畅，“双师型”师资薄弱、特色教材缺失、实训场景不足，无法凝聚育人合力。</w:t>
      </w:r>
    </w:p>
    <w:p w14:paraId="33124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982345</wp:posOffset>
            </wp:positionV>
            <wp:extent cx="5117465" cy="2896870"/>
            <wp:effectExtent l="0" t="0" r="10160" b="6985"/>
            <wp:wrapNone/>
            <wp:docPr id="1" name="图片 2" descr="1577b65b-4d79-48c9-b112-1fb5273c59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1577b65b-4d79-48c9-b112-1fb5273c597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7465" cy="289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>问题三：</w:t>
      </w:r>
      <w:r>
        <w:rPr>
          <w:rFonts w:hint="eastAsia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服务产业主动性待提升。学校未能有效发挥人才蓄水池作用，企业未实质介入教学全过程，校企之间缺少长效合作机制，服务覆盖范围有限。</w:t>
      </w:r>
    </w:p>
    <w:p w14:paraId="7B1C2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6985E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17F28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6FC9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4A4B6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6129F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64031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05611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11B43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54E51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textAlignment w:val="auto"/>
        <w:rPr>
          <w:rFonts w:hint="eastAsia" w:eastAsia="仿宋_GB2312" w:cs="仿宋_GB2312"/>
          <w:b w:val="0"/>
          <w:bCs w:val="0"/>
          <w:color w:val="auto"/>
          <w:sz w:val="30"/>
          <w:szCs w:val="30"/>
          <w:lang w:val="en-US" w:eastAsia="zh-CN"/>
        </w:rPr>
      </w:pPr>
    </w:p>
    <w:p w14:paraId="05FCF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图1：主要问题分析</w:t>
      </w:r>
    </w:p>
    <w:p w14:paraId="1B9713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三个问题导致专业吸引力下降、升学竞争力不足，无法持续向高职和应用型本科输送化工类生源，区域化工类技能人才培养链条面临断裂风险。</w:t>
      </w:r>
    </w:p>
    <w:p w14:paraId="43BAF8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</w:pPr>
      <w:bookmarkStart w:id="1" w:name="_Toc20801"/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lang w:val="en-US" w:eastAsia="zh-CN"/>
        </w:rPr>
        <w:t>主要方法与经验成果</w:t>
      </w:r>
      <w:bookmarkEnd w:id="1"/>
    </w:p>
    <w:p w14:paraId="5EB578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2018年，团队紧抓府谷镁产业转型战略机遇，围绕“智能环保绿色金属镁还原生产线”新技术方向，开展“随产迭代·要素互嵌”化学工艺专业改革研究，构建了“四方协同、随产迭代”的专业动态升级机制，创立了“要素互嵌、系统集成”的教学改革模式，形成了“服务产业、学用相长”的社会服务路径，凝练出可复制推广的中等职业学校精准育人范式。</w:t>
      </w:r>
    </w:p>
    <w:p w14:paraId="675A4FF9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right="0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-SA"/>
        </w:rPr>
        <w:drawing>
          <wp:inline distT="0" distB="0" distL="114300" distR="114300">
            <wp:extent cx="5593715" cy="2820035"/>
            <wp:effectExtent l="0" t="0" r="8890" b="8255"/>
            <wp:docPr id="2" name="图片 8" descr="191c31c8f053b25d9fad82e24811be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191c31c8f053b25d9fad82e24811be6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FF6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图2：成果总览</w:t>
      </w:r>
    </w:p>
    <w:p w14:paraId="7F2A0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/>
          <w:bCs/>
          <w:color w:val="auto"/>
          <w:sz w:val="32"/>
          <w:szCs w:val="32"/>
          <w:lang w:val="en-US" w:eastAsia="zh-CN"/>
        </w:rPr>
        <w:t>（一）建立了“四方协同、随产迭代”的专业动态升级机制，破解专业设置与产业匹配度不高的问题</w:t>
      </w:r>
    </w:p>
    <w:p w14:paraId="61F12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1.搭建“政行企校”四方协同平台，绘制岗位能力图谱。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专业设置与产业需求不匹配，根源是产教缺少制度化信息传递与决策通道。2018年组建由府谷县政府党组成员、教体局局长任组长的化学工艺专业建设指导委员会，构建“行政定方向、行业定标准、企业定需求、学校定方案”的治理架构，联合印发《化学工艺专业转型升级实施方案》《加快申报职业教育教学成果奖十条措施》，深入十家重点镁企开展岗位调研，梳理核心岗位的典型工作任务，绘制覆盖镁冶炼全流程的岗位能力图谱，作为后续专业建设相关工作的核心依据。</w:t>
      </w:r>
    </w:p>
    <w:p w14:paraId="1146FCCB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left="0" w:right="0" w:firstLine="482" w:firstLineChars="200"/>
        <w:textAlignment w:val="auto"/>
        <w:rPr>
          <w:rFonts w:hint="eastAsia" w:eastAsia="宋体"/>
          <w:b/>
          <w:bCs/>
          <w:color w:val="auto"/>
          <w:lang w:eastAsia="zh-CN"/>
        </w:rPr>
      </w:pPr>
    </w:p>
    <w:p w14:paraId="5CC559FD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right="0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-SA"/>
        </w:rPr>
        <w:drawing>
          <wp:inline distT="0" distB="0" distL="114300" distR="114300">
            <wp:extent cx="5688965" cy="3195955"/>
            <wp:effectExtent l="0" t="0" r="0" b="10160"/>
            <wp:docPr id="3" name="图片 10" descr="岗位能力_20260705064518_47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岗位能力_20260705064518_47_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965" cy="319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9F1B5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Autospacing="0" w:after="160" w:afterAutospacing="0"/>
        <w:ind w:left="0" w:right="0" w:firstLine="480" w:firstLineChars="200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图3：岗位能力图谱</w:t>
      </w:r>
    </w:p>
    <w:p w14:paraId="09501EA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2.实施“一年一小修、三年一大修”的人才培养方案动态调整。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每年结合企业岗位需求变化和毕业生跟踪反馈做微调，每三年结合产业技术升级趋势与区域人才需求变化做系统性修订，推动专业建设从“一次性设计”转为“持续性迭代”。</w:t>
      </w:r>
    </w:p>
    <w:p w14:paraId="3DAD4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left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3.紧扣产业转型升级节点，完成两次专业方向精准转向。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遵循“政策研判→深度调研→专家论证→方案修订”的科学决策流程。第一次转向在2018年，主动对接府谷县产业转化战略部署，服务县域经济高质量发展，经专题论证，在化学工艺专业中增设炼焦工艺等相关课程，完成从无机化工向煤化工的初步布局。</w:t>
      </w:r>
      <w:r>
        <w:rPr>
          <w:color w:val="auto"/>
        </w:rPr>
        <w:drawing>
          <wp:inline distT="0" distB="0" distL="114300" distR="114300">
            <wp:extent cx="5628640" cy="1541145"/>
            <wp:effectExtent l="0" t="0" r="6350" b="2540"/>
            <wp:docPr id="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864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A2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图4:基地挂牌</w:t>
      </w:r>
    </w:p>
    <w:p w14:paraId="53F1D1B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2021年正式将专业方向聚焦金属镁特色领域，围绕硅热法炼镁等核心工艺完成系统化课程设置，同年建成总投资587万元、配置全流程镁冶炼中小型生产设备的实训基地；2023年，学校获得地方政府产教融合专项资金支持，建成总投资6938万元的产教融合大楼，为该专业持续迭代升级提供了坚实硬件支撑。经上述调整，化学工艺专业成功入选陕西省高水平示范专业建设项目，专业方向与区域镁产业匹配度有所提高。</w:t>
      </w:r>
    </w:p>
    <w:p w14:paraId="49D691A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textAlignment w:val="auto"/>
        <w:outlineLvl w:val="1"/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2" w:name="_Toc8126"/>
      <w:r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创建了“要素互嵌、系统集成”的教学改革模式，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破解教学核心要素联动不足的问题</w:t>
      </w:r>
      <w:bookmarkEnd w:id="2"/>
    </w:p>
    <w:p w14:paraId="7D4FD85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第一环是专业牵引课程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。以岗位能力图谱为逻辑起点，开课学期、课时、考核标准都直接对应图谱中的岗位能力项。专业委员会审议淘汰了4门无机化工课程，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新增《硅热法炼镁生产工艺》《金属镁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理化性质分析测试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《镁冶炼仿真操作实训》《金属镁冶炼设备与维护》《镁合金腐蚀与防护》《镁渣综合利用》6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门核心课程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，开发1门精品课程。校企共同设定实践性教学学时，将其纳入人才培养方案核心指标，从制度上保障学生实践能力培养。</w:t>
      </w:r>
      <w:r>
        <w:rPr>
          <w:color w:val="auto"/>
        </w:rPr>
        <w:drawing>
          <wp:inline distT="0" distB="0" distL="114300" distR="114300">
            <wp:extent cx="5461635" cy="1879600"/>
            <wp:effectExtent l="0" t="0" r="635" b="952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DC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图5：课程资源建设</w:t>
      </w:r>
    </w:p>
    <w:p w14:paraId="42F72D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第二环是课程建设倒逼教材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目前国内中等职业教育金属镁专业领域缺少相关教材。学校立项开发校本教材，由西安交通大学研究团队撰写工艺操作理论，本校教师撰写教学法，合作企业提供生产操作规程与工艺参数，三方联合编写《硅热法炼镁简易生产流程及府谷应用》《金属镁理化性质分析测试》2部教材，将企业生产规程、参数和标准纳入教学内容，结合教学情况验证打磨，积累修订素材，不断更新完善。</w:t>
      </w:r>
    </w:p>
    <w:p w14:paraId="3CCBACF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第三环是教材驱动教师。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教材对教师实践能力提出了新要求，学校组织10名专业教师试讲测评后，发现教师普遍存在实践短板，学校一方面安排教师分批驻企实岗锻炼，另一方面选派骨干教师赴西交大参与研修，经过系统培养，10名专业教师全部完成了“双师型”转型。</w:t>
      </w:r>
    </w:p>
    <w:p w14:paraId="02220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627370" cy="1631950"/>
            <wp:effectExtent l="0" t="0" r="7620" b="889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42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图6：企业导师进课堂、专业教师进车间</w:t>
      </w:r>
    </w:p>
    <w:p w14:paraId="4367A85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第四环是教师支撑实训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教师转型后，原有化工实训设备与金属镁工艺不匹配的问题凸显，经委员会论证报批后，学校建成覆盖金属镁全生产流程的实景生产线，兼具教学实训与生产性服务功能。校企共同制定核心操作标准流程，邀请企业技能大师授课，开展“双导师”教学。</w:t>
      </w:r>
    </w:p>
    <w:p w14:paraId="5FD23B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671820" cy="2813685"/>
            <wp:effectExtent l="0" t="0" r="6350" b="3810"/>
            <wp:docPr id="7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71820" cy="281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BEC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图7：五要素互嵌示意图</w:t>
      </w:r>
    </w:p>
    <w:p w14:paraId="7D13D78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第五环是实训反哺专业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实景生产线投用后，教师结合课程目标、学生情况与知识点逐一比对，校验人才培养方案的合理性，发现问题及时修订。与10家企业共建校外实习基地，实现校内小产线实训与校外大产线跟岗实习的梯次衔接。在“岗位能力图谱”指引下，6门核心课程、2本校本教材、10名“双师型”教师、1处实景实训基地形成了相互支撑、循环迭代的有机教学生态。</w:t>
      </w:r>
    </w:p>
    <w:p w14:paraId="52117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outlineLvl w:val="1"/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3" w:name="_Toc11292"/>
      <w:r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</w:t>
      </w:r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形成了“服务产业，学用相长”的社会服务路径</w:t>
      </w:r>
      <w:r>
        <w:rPr>
          <w:rFonts w:hint="default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，破解服务产业主动性不高的问题</w:t>
      </w:r>
      <w:bookmarkEnd w:id="3"/>
    </w:p>
    <w:p w14:paraId="11D19FF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开展需求摸排，推进服务响应常态化。假期由校领导带队走访镁企收集需求，2023年针对4家中小镁企反映的送样检测周期长、成本高的问题，经研判后将原教学专用的检测中心拓展为公共服务平台，将企业平均检测周期从7天压缩至2天，降低了中小企业品控成本。</w:t>
      </w:r>
    </w:p>
    <w:p w14:paraId="6E92DCC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2.开放产线与设备资源，提供面向镁企业的全流程技术服务，企业可在原辅料进厂前通过光谱检测把控杂质含量，也可在各生产环节随时取样抽检，及时预警数据异常。服务企业能力提升，助力企业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年均增收超5000万元，企业满意度达94%。</w:t>
      </w:r>
    </w:p>
    <w:p w14:paraId="242783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开展在岗员工专项培训，补齐企业人力资源短板。2024年，学校针对企业用人需求，开展6期兰炭金属镁长训班，为企业在岗员工轮训，内容涵盖兰炭生产设备维护、安全环保、节能管理等多个模块，累计服务241人次，形成了校企行三方受益的良性局面。</w:t>
      </w:r>
    </w:p>
    <w:p w14:paraId="359A7F0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4.以技术服务助推企业提质增效。学校与智鑫泉公司深度协作，全程参与其4项专利（含《一种还原渣竖式冷却装置》等）的研发与落地，聚焦设备选型优化、运维体系升级及金属镁防腐处理等关键环节提供技术咨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实现了服务的实质性跨越。</w:t>
      </w:r>
    </w:p>
    <w:p w14:paraId="5E1BD22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技术服务过程中积累的工艺参数、故障案例和防腐方案，已纳入相关课程教学内容，实现产业服务经验向教学资源的常态化回流。学校将技术服务积累的真实案例转化为教学资源后，育人质量持续提升，先后被神木职业技术学院、榆林学院确立为“优质生源基地”，形成了“服务反哺教学、教学支撑升学”的良性循环。</w:t>
      </w:r>
    </w:p>
    <w:p w14:paraId="09BA716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4" w:name="_Toc11886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三、创新与特点</w:t>
      </w:r>
      <w:bookmarkEnd w:id="4"/>
    </w:p>
    <w:p w14:paraId="5EF8465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本成果在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年改革实践中，形成了以下三个创新点。</w:t>
      </w:r>
    </w:p>
    <w:p w14:paraId="5411B97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outlineLvl w:val="1"/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5" w:name="_Toc17512"/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（一）理念创新：确立“产业端定义教育端”的专业建设理念</w:t>
      </w:r>
      <w:bookmarkEnd w:id="5"/>
    </w:p>
    <w:p w14:paraId="783AF7F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突破传统“以学科为导向”的专业建设惯性思维，坚持以产业端岗位能力需求为逻辑起点，倒推课程体系与教学内容。岗位能力图谱作为产业端与教育端的转换接口，将企业用人需求翻译为教学端可量化、可执行的培养标准，使专业建设从“学校有什么条件就开什么专业”的供给驱动，转向“产业需要什么人就用什么条件来培养”的需求驱动，为破解县域中职产教“两张皮”提供了可迁移的方法论。</w:t>
      </w:r>
    </w:p>
    <w:p w14:paraId="6EDB38A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outlineLvl w:val="1"/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6" w:name="_Toc12827"/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（二）平台创新：建成区域中职首条金属镁全流程实景产线</w:t>
      </w:r>
      <w:bookmarkEnd w:id="6"/>
    </w:p>
    <w:p w14:paraId="1F4E0A26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整合实训教学、理化检测两大功能，贯通金属镁冶炼“煅烧—配料—还原—精炼”全流程，配套化学检测实验室与光谱室，构建从原料到产品的质检闭环。与虚拟仿真或单工序实训不同，该产线实现了全流程、真装备、严标准的实景实训，实现对镁冶炼初级工17个岗位能力点的覆盖，从根本上解决了中职化工类专业实训“看得见摸不着”的痛点。</w:t>
      </w:r>
    </w:p>
    <w:p w14:paraId="03CC37A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outlineLvl w:val="1"/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7" w:name="_Toc1736"/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（三）模式创新：首创“产线双功能”共享模式</w:t>
      </w:r>
      <w:bookmarkEnd w:id="7"/>
    </w:p>
    <w:p w14:paraId="7D934EA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同一产线既承载实训教学功能，又面向县域中小微涉镁企业开放技术服务，将教学资源转化为产业服务资源。企业可在校园产线完成原辅料光谱检测、中间产品抽检预警、不同配比方案模拟调试及新工艺小规模试生产，参数优化后再投入大规模生产线应用，避免直接上线造成巨额经济损失。该模式实现了三方共赢：学校盘活实训资源、紧跟产业前沿；企业降低试错成本与品控风险；区域构建“教学支撑服务、服务反哺教学”的产教融合良性循环。</w:t>
      </w:r>
    </w:p>
    <w:p w14:paraId="7AA8B4F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bookmarkStart w:id="8" w:name="_Toc26976"/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四、推广应用效果</w:t>
      </w:r>
      <w:bookmarkEnd w:id="8"/>
    </w:p>
    <w:p w14:paraId="23C2B02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outlineLvl w:val="1"/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9" w:name="_Toc12781"/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（一）成效</w:t>
      </w:r>
      <w:bookmarkEnd w:id="9"/>
    </w:p>
    <w:p w14:paraId="4156D33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1.育人体系全域落地，改革范式跨区域推广。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本成果于2018年启动，2021年完成专业转型，历经三阶迭代，形成覆盖镁冶炼全流程的17个岗位能力图谱，明确培养方向，编制符合金属镁岗位能力的人才培养方案；配套课标与校本教材完成框架设计，进入试用。方案三次大修订完成，其余年份进行年度微调，实现方案动态更新。成果的教材、理念、路径等已向神木、定边、米脂、榆林、保德、准格尔旗等地8所中职学校推广，惠及学生5444人、教师418人次。</w:t>
      </w:r>
    </w:p>
    <w:p w14:paraId="653CCB5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2.师资梯队专业成长，教研服务能力全面提质。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名专业教师已全部完成“双师型”培育，2名企业技能大师入驻。2023年团队教师荣获陕西省职业院校教师教学能力比赛三等奖，先后培育出2名陕西省教学能手、2名榆林市教学能手，涌现出1名榆林市教书育人楷模、1名榆林市名班主任、1名榆林市名教师、1名榆林市党员名师。团队累计完成省、市级课题7项，发表论文8篇；2022年参与企业技术研究，获国家知识产权局授予的实用新型专利2项；编撰校本教材2部，开发核心课程2门。教师累计参与省市示范交流课7节，专业教师产业服务能力与教研水平实现质的飞跃。</w:t>
      </w:r>
    </w:p>
    <w:p w14:paraId="7CC7F25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jc w:val="left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516880" cy="3933190"/>
            <wp:effectExtent l="0" t="0" r="10160" b="698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393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96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图8：教师论文发表（节选）</w:t>
      </w:r>
    </w:p>
    <w:p w14:paraId="308F9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683885" cy="3952875"/>
            <wp:effectExtent l="0" t="0" r="5080" b="889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388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0B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图9：立项与结题证书（节选）</w:t>
      </w:r>
    </w:p>
    <w:p w14:paraId="4517E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2" w:firstLineChars="200"/>
        <w:textAlignment w:val="auto"/>
        <w:rPr>
          <w:rFonts w:hint="eastAsia" w:eastAsia="仿宋_GB2312" w:cs="仿宋_GB2312"/>
          <w:b/>
          <w:bCs/>
          <w:color w:val="auto"/>
          <w:sz w:val="30"/>
          <w:szCs w:val="30"/>
          <w:lang w:val="en-US" w:eastAsia="zh-CN"/>
        </w:rPr>
      </w:pPr>
    </w:p>
    <w:p w14:paraId="74D1F66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3.人才培养质量跃升，学生发展成就丰富。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改革方案已全面运用于本校化学工艺专业全部教学班，覆盖5届学生共计586人次。化学工艺专业在校生规模增至320人，1名学生获评中等职业教育国家奖学金。</w:t>
      </w:r>
    </w:p>
    <w:p w14:paraId="3EBA6F2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技能竞赛取得丰硕成果：8名学生因综合素养突出，经指导教师选拔，参与技能大赛，荣获世界职业院校技能大赛铜奖1项，省级技能大赛一等奖1项、二等奖2项、三等奖3项；市级技能大赛一等奖2项、二等奖3项、三等奖4项。毕业生升学就业率稳定保持在90%以上，共有4名优秀毕业生成长为企业技术骨干。</w:t>
      </w:r>
    </w:p>
    <w:p w14:paraId="2C7086D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4.办学品牌特色鲜明，社会辐射影响力持续扩大。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2023年化学工艺专业入选陕西省高水平示范性专业建设项目，带动校内机电技术应用等4个专业同步改革，2个专业入选示范专业。2022年，学校获评陕西省高水平示范性中等职业学校、陕西省教育督导评估“316工程”素质教育暨质量提升优秀学校；府谷县获评“陕西省职业教育改革发展成效明显县”。2024年，本成果荣获陕西省第四届中等职业教育教学成果特等奖。相关成果被央视新闻、陕西日报等媒体报道29次，学校获评榆林市质量提升优秀学校。陕西省副省长方光华，省教育厅时任厅长刘建林，副厅长王紫贵、朱晓渭先后到校调研，对化工专业增设金属镁方向给予充分肯定。学校面向县域镁企常态化开设用工长训班，累计服务241人次；免费开放高精度光谱检测中心，企业满意度达94%。</w:t>
      </w:r>
    </w:p>
    <w:p w14:paraId="164D4204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/>
        <w:jc w:val="left"/>
        <w:textAlignment w:val="auto"/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708015" cy="3331845"/>
            <wp:effectExtent l="0" t="0" r="2540" b="3810"/>
            <wp:docPr id="1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8015" cy="333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A4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图10：宣传推广情况</w:t>
      </w:r>
    </w:p>
    <w:p w14:paraId="30F0CF6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3" w:firstLineChars="200"/>
        <w:jc w:val="left"/>
        <w:textAlignment w:val="auto"/>
        <w:outlineLvl w:val="1"/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bookmarkStart w:id="10" w:name="_Toc4282"/>
      <w:r>
        <w:rPr>
          <w:rFonts w:hint="eastAsia" w:ascii="方正楷体_GB2312" w:hAnsi="方正楷体_GB2312" w:eastAsia="方正楷体_GB2312" w:cs="方正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（二）反思</w:t>
      </w:r>
      <w:bookmarkEnd w:id="10"/>
    </w:p>
    <w:p w14:paraId="0F215D4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right="0" w:righ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立足五年实践，成果在取得显著成效的同时，有三方面需深化：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服务层次多集中于常规检测与岗前培训，未深度介入企业绿色冶炼等核心攻关领域；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成果高度依赖府谷特色产业生态，跨区域推广的标准化工具包尚待开发；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聚焦岗位精准对标，对学生可持续发展基础能力的培养有待加强，人才成长后劲需持续跟踪。下一步团队将锚定“双优”建设，以深化中高本一体化育人为突破口，推动改革从“经验应对”向“机制构建”迈进，为县域中职产教融合提供更具普适性的范式参考。</w:t>
      </w:r>
    </w:p>
    <w:sectPr>
      <w:footerReference r:id="rId5" w:type="default"/>
      <w:pgSz w:w="11906" w:h="16838"/>
      <w:pgMar w:top="1531" w:right="1474" w:bottom="1417" w:left="1587" w:header="851" w:footer="992" w:gutter="0"/>
      <w:pgNumType w:fmt="decimal"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28BD08-AA4E-4AFB-B1C6-B7ED8EB41C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小标宋简体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8321B35-F32E-467C-8305-DAEAC0525C8D}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CA87ACF-FA19-42B4-A538-3484B0F31FCF}"/>
  </w:font>
  <w:font w:name="方正楷体_GB2312">
    <w:altName w:val="方正楷体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8ACDA83-3867-4FAD-983A-3161C4AAD401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388D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7614E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VnwVT3gEAAMA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67614E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555CA0"/>
    <w:multiLevelType w:val="singleLevel"/>
    <w:tmpl w:val="A1555CA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kZWY3ZjY4YmVlNjhlYmY5OTI5MmY5ODJkOWVhNjIifQ=="/>
  </w:docVars>
  <w:rsids>
    <w:rsidRoot w:val="00000000"/>
    <w:rsid w:val="00597165"/>
    <w:rsid w:val="029D18A6"/>
    <w:rsid w:val="03086AA8"/>
    <w:rsid w:val="040A36BB"/>
    <w:rsid w:val="04784101"/>
    <w:rsid w:val="05B9052D"/>
    <w:rsid w:val="06EB7B36"/>
    <w:rsid w:val="070F3D05"/>
    <w:rsid w:val="07800642"/>
    <w:rsid w:val="08082ABC"/>
    <w:rsid w:val="083D5587"/>
    <w:rsid w:val="0845254C"/>
    <w:rsid w:val="08A95BA3"/>
    <w:rsid w:val="091D7025"/>
    <w:rsid w:val="095347F5"/>
    <w:rsid w:val="09554A11"/>
    <w:rsid w:val="09B259BF"/>
    <w:rsid w:val="09C0632E"/>
    <w:rsid w:val="0A037FC9"/>
    <w:rsid w:val="0AE47DFA"/>
    <w:rsid w:val="0BFB7527"/>
    <w:rsid w:val="0C34638F"/>
    <w:rsid w:val="0CFE3283"/>
    <w:rsid w:val="0D116EA1"/>
    <w:rsid w:val="0D3764E2"/>
    <w:rsid w:val="0DC3019B"/>
    <w:rsid w:val="0DF03191"/>
    <w:rsid w:val="0E6F2D9E"/>
    <w:rsid w:val="0ECB553B"/>
    <w:rsid w:val="0F6A303E"/>
    <w:rsid w:val="15051099"/>
    <w:rsid w:val="16797C48"/>
    <w:rsid w:val="167C182F"/>
    <w:rsid w:val="16E06917"/>
    <w:rsid w:val="175E0F34"/>
    <w:rsid w:val="184F61CB"/>
    <w:rsid w:val="19245F9A"/>
    <w:rsid w:val="1B47366A"/>
    <w:rsid w:val="1B4B7B9A"/>
    <w:rsid w:val="1B8D1DE8"/>
    <w:rsid w:val="1E763007"/>
    <w:rsid w:val="1EA9518B"/>
    <w:rsid w:val="1F1C595D"/>
    <w:rsid w:val="1FF22B62"/>
    <w:rsid w:val="21983295"/>
    <w:rsid w:val="23A21FE5"/>
    <w:rsid w:val="246A2E6B"/>
    <w:rsid w:val="25525D45"/>
    <w:rsid w:val="26192BF6"/>
    <w:rsid w:val="26C532D1"/>
    <w:rsid w:val="26C863CA"/>
    <w:rsid w:val="26CE5A1F"/>
    <w:rsid w:val="270C4509"/>
    <w:rsid w:val="27B630F6"/>
    <w:rsid w:val="2963782B"/>
    <w:rsid w:val="2A9D36CA"/>
    <w:rsid w:val="2B481888"/>
    <w:rsid w:val="2BF8656F"/>
    <w:rsid w:val="2D0666AF"/>
    <w:rsid w:val="2E8E7EF9"/>
    <w:rsid w:val="2EB86D24"/>
    <w:rsid w:val="2EE65331"/>
    <w:rsid w:val="2F2263DC"/>
    <w:rsid w:val="314825E1"/>
    <w:rsid w:val="3264344B"/>
    <w:rsid w:val="32CE4D68"/>
    <w:rsid w:val="330662B0"/>
    <w:rsid w:val="3483024B"/>
    <w:rsid w:val="3632560E"/>
    <w:rsid w:val="37A75B88"/>
    <w:rsid w:val="386F66A6"/>
    <w:rsid w:val="38862339"/>
    <w:rsid w:val="38CA4224"/>
    <w:rsid w:val="38E712F0"/>
    <w:rsid w:val="39BD1573"/>
    <w:rsid w:val="3B5B5607"/>
    <w:rsid w:val="3BAC19BF"/>
    <w:rsid w:val="3BD056AD"/>
    <w:rsid w:val="3D5B18EE"/>
    <w:rsid w:val="3DB159B2"/>
    <w:rsid w:val="3E704F26"/>
    <w:rsid w:val="3EAB0654"/>
    <w:rsid w:val="431247FD"/>
    <w:rsid w:val="43B84C3A"/>
    <w:rsid w:val="43C57AC2"/>
    <w:rsid w:val="44B71B00"/>
    <w:rsid w:val="466D529B"/>
    <w:rsid w:val="48343468"/>
    <w:rsid w:val="4BB74194"/>
    <w:rsid w:val="4C222991"/>
    <w:rsid w:val="4C4F1795"/>
    <w:rsid w:val="4D924EB8"/>
    <w:rsid w:val="5075461D"/>
    <w:rsid w:val="51326415"/>
    <w:rsid w:val="5217598C"/>
    <w:rsid w:val="525F044C"/>
    <w:rsid w:val="526B54EB"/>
    <w:rsid w:val="54662BFB"/>
    <w:rsid w:val="55E4027B"/>
    <w:rsid w:val="56485B29"/>
    <w:rsid w:val="56A93273"/>
    <w:rsid w:val="57F549C2"/>
    <w:rsid w:val="5818245E"/>
    <w:rsid w:val="5844342F"/>
    <w:rsid w:val="585A65D3"/>
    <w:rsid w:val="58817C43"/>
    <w:rsid w:val="58B959EF"/>
    <w:rsid w:val="5A0E1D6B"/>
    <w:rsid w:val="5A1943EC"/>
    <w:rsid w:val="5B0311A3"/>
    <w:rsid w:val="5B1E5FDD"/>
    <w:rsid w:val="5BCC3C8B"/>
    <w:rsid w:val="5BEE378E"/>
    <w:rsid w:val="5D577585"/>
    <w:rsid w:val="5E6950DA"/>
    <w:rsid w:val="5F797C86"/>
    <w:rsid w:val="608C5797"/>
    <w:rsid w:val="60EB7500"/>
    <w:rsid w:val="612E4AA0"/>
    <w:rsid w:val="61FC5387"/>
    <w:rsid w:val="6211064A"/>
    <w:rsid w:val="630755A9"/>
    <w:rsid w:val="631E053D"/>
    <w:rsid w:val="63A4086C"/>
    <w:rsid w:val="63C86DC4"/>
    <w:rsid w:val="662621EA"/>
    <w:rsid w:val="66CA7019"/>
    <w:rsid w:val="672C3830"/>
    <w:rsid w:val="673B4EB6"/>
    <w:rsid w:val="673F5EBD"/>
    <w:rsid w:val="6848469A"/>
    <w:rsid w:val="6AA45DD3"/>
    <w:rsid w:val="6AA858C3"/>
    <w:rsid w:val="6AC67AF8"/>
    <w:rsid w:val="6B8B10E9"/>
    <w:rsid w:val="6C77554D"/>
    <w:rsid w:val="6D941941"/>
    <w:rsid w:val="6DB909B8"/>
    <w:rsid w:val="6ECD59A7"/>
    <w:rsid w:val="707A1AB0"/>
    <w:rsid w:val="71ED62B2"/>
    <w:rsid w:val="73087218"/>
    <w:rsid w:val="7383022D"/>
    <w:rsid w:val="74D177C5"/>
    <w:rsid w:val="75267DF3"/>
    <w:rsid w:val="755F3023"/>
    <w:rsid w:val="77E678CA"/>
    <w:rsid w:val="79010C0C"/>
    <w:rsid w:val="7A083C89"/>
    <w:rsid w:val="7A3507F6"/>
    <w:rsid w:val="7A392094"/>
    <w:rsid w:val="7A3D0418"/>
    <w:rsid w:val="7ACC2087"/>
    <w:rsid w:val="7B672C31"/>
    <w:rsid w:val="7C305719"/>
    <w:rsid w:val="7C3E1BE4"/>
    <w:rsid w:val="7CF322AF"/>
    <w:rsid w:val="7D175C4D"/>
    <w:rsid w:val="7D2C5EE0"/>
    <w:rsid w:val="7D4C62EB"/>
    <w:rsid w:val="7D943A85"/>
    <w:rsid w:val="7EA47CF8"/>
    <w:rsid w:val="7EBF1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uiPriority w:val="0"/>
    <w:rPr>
      <w:sz w:val="24"/>
    </w:rPr>
  </w:style>
  <w:style w:type="paragraph" w:customStyle="1" w:styleId="9">
    <w:name w:val="WPSOffice手动目录 1"/>
    <w:uiPriority w:val="0"/>
    <w:pPr>
      <w:ind w:leftChars="0"/>
    </w:pPr>
    <w:rPr>
      <w:sz w:val="20"/>
      <w:szCs w:val="20"/>
    </w:rPr>
  </w:style>
  <w:style w:type="paragraph" w:customStyle="1" w:styleId="10">
    <w:name w:val="WPSOffice手动目录 2"/>
    <w:uiPriority w:val="0"/>
    <w:pPr>
      <w:ind w:leftChars="20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1151</Words>
  <Characters>1165</Characters>
  <Lines>0</Lines>
  <Paragraphs>0</Paragraphs>
  <TotalTime>21</TotalTime>
  <ScaleCrop>false</ScaleCrop>
  <LinksUpToDate>false</LinksUpToDate>
  <CharactersWithSpaces>1165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2026-07-04T04:16:20Z</dcterms:created>
  <dc:creator>Administrator</dc:creator>
  <cp:lastModifiedBy>美图秀秀</cp:lastModifiedBy>
  <dcterms:modified xsi:type="dcterms:W3CDTF">2026-07-08T16:19:39Z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eyJoZGlkIjoiZDRlZTEyZTU5Yjg5ZTZiMWQyZmYwZWQ3YjMyY2JkYWIiLCJ1c2VySWQiOiIyMzY2NzU1MjcifQ==</vt:lpwstr>
  </property>
  <property fmtid="{D5CDD505-2E9C-101B-9397-08002B2CF9AE}" pid="4" name="ICV">
    <vt:lpwstr>EC952A064BC2438E9626F68A35AB33CC_13</vt:lpwstr>
  </property>
</Properties>
</file>